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21 — Exposition Models I: From Particular to General — AP English Language</w:t>
      </w:r>
    </w:p>
    <w:p>
      <w:pPr>
        <w:pStyle w:val="Normal"/>
        <w:spacing w:after="60" w:before="60"/>
      </w:pPr>
      <w:r>
        <w:rPr>
          <w:rFonts w:ascii="Arial" w:cs="Arial" w:eastAsia="Arial" w:hAnsi="Arial"/>
          <w:sz w:val="22"/>
          <w:szCs w:val="22"/>
        </w:rPr>
        <w:t xml:space="preserve">Course: AP English Language   |   Week of 2027-02-08</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particular-to-general structure in nonfiction prose and locate the pivot sentence</w:t>
      </w:r>
    </w:p>
    <w:p>
      <w:pPr>
        <w:spacing w:after="40" w:before="40"/>
        <w:ind w:left="360"/>
      </w:pPr>
      <w:r>
        <w:rPr>
          <w:rFonts w:ascii="Arial" w:cs="Arial" w:eastAsia="Arial" w:hAnsi="Arial"/>
          <w:sz w:val="22"/>
          <w:szCs w:val="22"/>
        </w:rPr>
        <w:t xml:space="preserve">• Write a paragraph using the particular-to-general structure with a clear anchor example and pivot sentence</w:t>
      </w:r>
    </w:p>
    <w:p>
      <w:pPr>
        <w:spacing w:after="40" w:before="40"/>
        <w:ind w:left="360"/>
      </w:pPr>
      <w:r>
        <w:rPr>
          <w:rFonts w:ascii="Arial" w:cs="Arial" w:eastAsia="Arial" w:hAnsi="Arial"/>
          <w:sz w:val="22"/>
          <w:szCs w:val="22"/>
        </w:rPr>
        <w:t xml:space="preserve">• Evaluate whether a generalization is supported by sufficient representative evidence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Inductive structure</w:t>
      </w:r>
    </w:p>
    <w:p>
      <w:pPr>
        <w:spacing w:after="60" w:before="0"/>
        <w:ind w:left="360"/>
      </w:pPr>
      <w:r>
        <w:rPr>
          <w:rFonts w:ascii="Arial" w:cs="Arial" w:eastAsia="Arial" w:hAnsi="Arial"/>
          <w:sz w:val="22"/>
          <w:szCs w:val="22"/>
        </w:rPr>
        <w:t xml:space="preserve">A pattern that moves from specific observations toward a general conclusion — shows before it tells.</w:t>
      </w:r>
    </w:p>
    <w:p>
      <w:pPr>
        <w:spacing w:after="20" w:before="80"/>
      </w:pPr>
      <w:r>
        <w:rPr>
          <w:rFonts w:ascii="Arial" w:cs="Arial" w:eastAsia="Arial" w:hAnsi="Arial"/>
          <w:b/>
          <w:bCs/>
          <w:sz w:val="22"/>
          <w:szCs w:val="22"/>
        </w:rPr>
        <w:t xml:space="preserve">Anchor example</w:t>
      </w:r>
    </w:p>
    <w:p>
      <w:pPr>
        <w:spacing w:after="60" w:before="0"/>
        <w:ind w:left="360"/>
      </w:pPr>
      <w:r>
        <w:rPr>
          <w:rFonts w:ascii="Arial" w:cs="Arial" w:eastAsia="Arial" w:hAnsi="Arial"/>
          <w:sz w:val="22"/>
          <w:szCs w:val="22"/>
        </w:rPr>
        <w:t xml:space="preserve">The opening specific case chosen to be vivid, unambiguous, and representative of the pattern the writer will name.</w:t>
      </w:r>
    </w:p>
    <w:p>
      <w:pPr>
        <w:spacing w:after="20" w:before="80"/>
      </w:pPr>
      <w:r>
        <w:rPr>
          <w:rFonts w:ascii="Arial" w:cs="Arial" w:eastAsia="Arial" w:hAnsi="Arial"/>
          <w:b/>
          <w:bCs/>
          <w:sz w:val="22"/>
          <w:szCs w:val="22"/>
        </w:rPr>
        <w:t xml:space="preserve">Pivot sentence</w:t>
      </w:r>
    </w:p>
    <w:p>
      <w:pPr>
        <w:spacing w:after="60" w:before="0"/>
        <w:ind w:left="360"/>
      </w:pPr>
      <w:r>
        <w:rPr>
          <w:rFonts w:ascii="Arial" w:cs="Arial" w:eastAsia="Arial" w:hAnsi="Arial"/>
          <w:sz w:val="22"/>
          <w:szCs w:val="22"/>
        </w:rPr>
        <w:t xml:space="preserve">The sentence that names the general principle after the specific examples have established it.</w:t>
      </w:r>
    </w:p>
    <w:p>
      <w:pPr>
        <w:spacing w:after="20" w:before="80"/>
      </w:pPr>
      <w:r>
        <w:rPr>
          <w:rFonts w:ascii="Arial" w:cs="Arial" w:eastAsia="Arial" w:hAnsi="Arial"/>
          <w:b/>
          <w:bCs/>
          <w:sz w:val="22"/>
          <w:szCs w:val="22"/>
        </w:rPr>
        <w:t xml:space="preserve">Accumulation</w:t>
      </w:r>
    </w:p>
    <w:p>
      <w:pPr>
        <w:spacing w:after="60" w:before="0"/>
        <w:ind w:left="360"/>
      </w:pPr>
      <w:r>
        <w:rPr>
          <w:rFonts w:ascii="Arial" w:cs="Arial" w:eastAsia="Arial" w:hAnsi="Arial"/>
          <w:sz w:val="22"/>
          <w:szCs w:val="22"/>
        </w:rPr>
        <w:t xml:space="preserve">Building toward a conclusion by presenting multiple specific instances before stating the claim they support.</w:t>
      </w:r>
    </w:p>
    <w:p>
      <w:pPr>
        <w:spacing w:after="20" w:before="80"/>
      </w:pPr>
      <w:r>
        <w:rPr>
          <w:rFonts w:ascii="Arial" w:cs="Arial" w:eastAsia="Arial" w:hAnsi="Arial"/>
          <w:b/>
          <w:bCs/>
          <w:sz w:val="22"/>
          <w:szCs w:val="22"/>
        </w:rPr>
        <w:t xml:space="preserve">Representative instance</w:t>
      </w:r>
    </w:p>
    <w:p>
      <w:pPr>
        <w:spacing w:after="60" w:before="0"/>
        <w:ind w:left="360"/>
      </w:pPr>
      <w:r>
        <w:rPr>
          <w:rFonts w:ascii="Arial" w:cs="Arial" w:eastAsia="Arial" w:hAnsi="Arial"/>
          <w:sz w:val="22"/>
          <w:szCs w:val="22"/>
        </w:rPr>
        <w:t xml:space="preserve">An example that fairly reflects the broader pattern being argued — not an extreme or unusual case.</w:t>
      </w:r>
    </w:p>
    <w:p>
      <w:pPr>
        <w:spacing w:after="20" w:before="80"/>
      </w:pPr>
      <w:r>
        <w:rPr>
          <w:rFonts w:ascii="Arial" w:cs="Arial" w:eastAsia="Arial" w:hAnsi="Arial"/>
          <w:b/>
          <w:bCs/>
          <w:sz w:val="22"/>
          <w:szCs w:val="22"/>
        </w:rPr>
        <w:t xml:space="preserve">Generalization</w:t>
      </w:r>
    </w:p>
    <w:p>
      <w:pPr>
        <w:spacing w:after="60" w:before="0"/>
        <w:ind w:left="360"/>
      </w:pPr>
      <w:r>
        <w:rPr>
          <w:rFonts w:ascii="Arial" w:cs="Arial" w:eastAsia="Arial" w:hAnsi="Arial"/>
          <w:sz w:val="22"/>
          <w:szCs w:val="22"/>
        </w:rPr>
        <w:t xml:space="preserve">A broad claim drawn from specific observations; valid only when the evidence is sufficient and representative.</w:t>
      </w:r>
    </w:p>
    <w:p>
      <w:pPr>
        <w:spacing w:after="20" w:before="80"/>
      </w:pPr>
      <w:r>
        <w:rPr>
          <w:rFonts w:ascii="Arial" w:cs="Arial" w:eastAsia="Arial" w:hAnsi="Arial"/>
          <w:b/>
          <w:bCs/>
          <w:sz w:val="22"/>
          <w:szCs w:val="22"/>
        </w:rPr>
        <w:t xml:space="preserve">Perspicuous</w:t>
      </w:r>
    </w:p>
    <w:p>
      <w:pPr>
        <w:spacing w:after="60" w:before="0"/>
        <w:ind w:left="360"/>
      </w:pPr>
      <w:r>
        <w:rPr>
          <w:rFonts w:ascii="Arial" w:cs="Arial" w:eastAsia="Arial" w:hAnsi="Arial"/>
          <w:sz w:val="22"/>
          <w:szCs w:val="22"/>
        </w:rPr>
        <w:t xml:space="preserve">Clear and transparent in expression; reasoning easy to follow because it is stated directly, not obscured.</w:t>
      </w:r>
    </w:p>
    <w:p>
      <w:pPr>
        <w:spacing w:after="20" w:before="80"/>
      </w:pPr>
      <w:r>
        <w:rPr>
          <w:rFonts w:ascii="Arial" w:cs="Arial" w:eastAsia="Arial" w:hAnsi="Arial"/>
          <w:b/>
          <w:bCs/>
          <w:sz w:val="22"/>
          <w:szCs w:val="22"/>
        </w:rPr>
        <w:t xml:space="preserve">Delineate</w:t>
      </w:r>
    </w:p>
    <w:p>
      <w:pPr>
        <w:spacing w:after="60" w:before="0"/>
        <w:ind w:left="360"/>
      </w:pPr>
      <w:r>
        <w:rPr>
          <w:rFonts w:ascii="Arial" w:cs="Arial" w:eastAsia="Arial" w:hAnsi="Arial"/>
          <w:sz w:val="22"/>
          <w:szCs w:val="22"/>
        </w:rPr>
        <w:t xml:space="preserve">To describe precisely; to mark the exact boundaries or outline of a subject before building a claim from it.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Particular to General: How Inductive Structure Persuades</w:t>
      </w:r>
    </w:p>
    <w:p>
      <w:pPr>
        <w:pStyle w:val="Normal"/>
        <w:spacing w:after="60" w:before="60"/>
      </w:pPr>
      <w:r>
        <w:rPr>
          <w:rFonts w:ascii="Arial" w:cs="Arial" w:eastAsia="Arial" w:hAnsi="Arial"/>
          <w:sz w:val="22"/>
          <w:szCs w:val="22"/>
        </w:rPr>
        <w:t xml:space="preserve">The particular-to-general structure is one of the oldest and most effective patterns in nonfiction prose. Instead of stating the conclusion first and backing it up with examples, the writer opens with two or three specific, concrete cases and accumulates them until the general principle they share becomes visible to the reader. When the reader arrives at that principle alongside the writer — rather than being told it outright — the claim carries more persuasive force.</w:t>
      </w:r>
    </w:p>
    <w:p>
      <w:pPr>
        <w:pStyle w:val="Normal"/>
        <w:spacing w:after="60" w:before="60"/>
      </w:pPr>
      <w:r>
        <w:rPr>
          <w:rFonts w:ascii="Arial" w:cs="Arial" w:eastAsia="Arial" w:hAnsi="Arial"/>
          <w:sz w:val="22"/>
          <w:szCs w:val="22"/>
        </w:rPr>
        <w:t xml:space="preserve">The anchor example is the structural starting point. It must be vivid enough to picture, specific enough to be unambiguous, and representative enough that it cannot be dismissed as an exception. A writer arguing that urban schools are systematically underfunded might open not with that claim but with a specific teacher buying classroom supplies out of pocket in a specific school. The reader sees the problem before the writer names it.</w:t>
      </w:r>
    </w:p>
    <w:p>
      <w:pPr>
        <w:pStyle w:val="Normal"/>
        <w:spacing w:after="60" w:before="60"/>
      </w:pPr>
      <w:r>
        <w:rPr>
          <w:rFonts w:ascii="Arial" w:cs="Arial" w:eastAsia="Arial" w:hAnsi="Arial"/>
          <w:sz w:val="22"/>
          <w:szCs w:val="22"/>
        </w:rPr>
        <w:t xml:space="preserve">Accumulation provides the proof. Two or three distinct, clearly different cases establish a pattern rather than a coincidence. The key word is distinct: examples drawn from the same time, place, or person are not accumulation — they are repetition. The reader must see the pattern emerging across different contexts before the general claim will feel earned.</w:t>
      </w:r>
    </w:p>
    <w:p>
      <w:pPr>
        <w:pStyle w:val="Normal"/>
        <w:spacing w:after="60" w:before="60"/>
      </w:pPr>
      <w:r>
        <w:rPr>
          <w:rFonts w:ascii="Arial" w:cs="Arial" w:eastAsia="Arial" w:hAnsi="Arial"/>
          <w:sz w:val="22"/>
          <w:szCs w:val="22"/>
        </w:rPr>
        <w:t xml:space="preserve">The pivot sentence is the hinge that turns specific observation into general claim. It arrives after the examples have done their work and usually begins with language like 'What each of these reveals...' or 'Behind this pattern lies...' or simply states the principle directly without hedging. A missing or weak pivot sentence leaves the reader to do the writer's work — and readers rarely do it the way the writer intended.</w:t>
      </w:r>
    </w:p>
    <w:p>
      <w:pPr>
        <w:pStyle w:val="Normal"/>
        <w:spacing w:after="60" w:before="60"/>
      </w:pPr>
      <w:r>
        <w:rPr>
          <w:rFonts w:ascii="Arial" w:cs="Arial" w:eastAsia="Arial" w:hAnsi="Arial"/>
          <w:sz w:val="22"/>
          <w:szCs w:val="22"/>
        </w:rPr>
        <w:t xml:space="preserve">The central risk of this structure is hasty generalization: too few examples, or examples that are not representative of the full range of cases, produce a general claim the reader has not been genuinely prepared to accept. Two examples from the same city are not a national pattern.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the structure: An essay on hospital staffing opens with a nurse in Phoenix who cannot leave a critical patient to respond to an alarm because no one else is on the floor; then a technician in Atlanta who has performed the same task every shift for six months without adequate training; then an administrator in Boston who approves seventeen procedures she has never seen performed because the queue requires it. After three paragraphs, the pivot: 'What each of these reveals is not individual failure but institutional arithmetic — an industry that has calculated that staffing below safety can still clear regulatory minimums.' The reader has seen the pattern; the claim names 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Evaluating the generalization: A student essay on social media's effect on attention opens with one personal anecdote about losing focus while scrolling. One example from one person's experience is not sufficient for a general claim about social media and attention; the generalization has been reached without enough accumulation. A stronger version would add two more cases from clearly different contexts — a research study, a classroom observation — before the pivot sentence names the pattern.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the pivot sentence first and then providing examples — this converts a particular-to-general structure into a claim-then-support structure. The inductive structure's persuasive power comes specifically from delaying the general claim until the examples have prepared the reader to recognize it.</w:t>
      </w:r>
    </w:p>
    <w:p>
      <w:pPr>
        <w:spacing w:after="40" w:before="40"/>
        <w:ind w:left="360"/>
      </w:pPr>
      <w:r>
        <w:rPr>
          <w:rFonts w:ascii="Arial" w:cs="Arial" w:eastAsia="Arial" w:hAnsi="Arial"/>
          <w:sz w:val="22"/>
          <w:szCs w:val="22"/>
        </w:rPr>
        <w:t xml:space="preserve">• Using examples that are all variations of the same case — three stories from the same school, city, or data set are not three distinct instances; they are one extended example. Accumulation requires crossing contexts, populations, or time periods.</w:t>
      </w:r>
    </w:p>
    <w:p>
      <w:pPr>
        <w:spacing w:after="40" w:before="40"/>
        <w:ind w:left="360"/>
      </w:pPr>
      <w:r>
        <w:rPr>
          <w:rFonts w:ascii="Arial" w:cs="Arial" w:eastAsia="Arial" w:hAnsi="Arial"/>
          <w:sz w:val="22"/>
          <w:szCs w:val="22"/>
        </w:rPr>
        <w:t xml:space="preserve">• Confusing a particular-to-general movement with a narrative arc — stories have characters, tension, and resolution; particular-to-general exposition uses specific cases as evidence for a general principle. The examples are not the point; the pattern they reveal is.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the particular-to-general structure, the pivot sentence serves primarily to:</w:t>
      </w:r>
    </w:p>
    <w:p>
      <w:pPr>
        <w:spacing w:after="40" w:before="40"/>
        <w:ind w:left="360"/>
      </w:pPr>
      <w:r>
        <w:rPr>
          <w:rFonts w:ascii="Arial" w:cs="Arial" w:eastAsia="Arial" w:hAnsi="Arial"/>
          <w:sz w:val="22"/>
          <w:szCs w:val="22"/>
        </w:rPr>
        <w:t xml:space="preserve">• A. Name the general principle after specific examples have prepared the reader to recognize it</w:t>
      </w:r>
    </w:p>
    <w:p>
      <w:pPr>
        <w:spacing w:after="40" w:before="40"/>
        <w:ind w:left="360"/>
      </w:pPr>
      <w:r>
        <w:rPr>
          <w:rFonts w:ascii="Arial" w:cs="Arial" w:eastAsia="Arial" w:hAnsi="Arial"/>
          <w:sz w:val="22"/>
          <w:szCs w:val="22"/>
        </w:rPr>
        <w:t xml:space="preserve">• B. Introduce the first specific example that will anchor the entire exposition</w:t>
      </w:r>
    </w:p>
    <w:p>
      <w:pPr>
        <w:spacing w:after="40" w:before="40"/>
        <w:ind w:left="360"/>
      </w:pPr>
      <w:r>
        <w:rPr>
          <w:rFonts w:ascii="Arial" w:cs="Arial" w:eastAsia="Arial" w:hAnsi="Arial"/>
          <w:sz w:val="22"/>
          <w:szCs w:val="22"/>
        </w:rPr>
        <w:t xml:space="preserve">• C. Provide a transition between two unrelated examples by summarizing each</w:t>
      </w:r>
    </w:p>
    <w:p>
      <w:pPr>
        <w:spacing w:after="40" w:before="40"/>
        <w:ind w:left="360"/>
      </w:pPr>
      <w:r>
        <w:rPr>
          <w:rFonts w:ascii="Arial" w:cs="Arial" w:eastAsia="Arial" w:hAnsi="Arial"/>
          <w:sz w:val="22"/>
          <w:szCs w:val="22"/>
        </w:rPr>
        <w:t xml:space="preserve">• D. Restate the thesis of the essay so the reader remembers the central argument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An anchor example is most effective when it is:</w:t>
      </w:r>
    </w:p>
    <w:p>
      <w:pPr>
        <w:spacing w:after="40" w:before="40"/>
        <w:ind w:left="360"/>
      </w:pPr>
      <w:r>
        <w:rPr>
          <w:rFonts w:ascii="Arial" w:cs="Arial" w:eastAsia="Arial" w:hAnsi="Arial"/>
          <w:sz w:val="22"/>
          <w:szCs w:val="22"/>
        </w:rPr>
        <w:t xml:space="preserve">• A. Unusual or extreme, so the reader finds it striking and memorable</w:t>
      </w:r>
    </w:p>
    <w:p>
      <w:pPr>
        <w:spacing w:after="40" w:before="40"/>
        <w:ind w:left="360"/>
      </w:pPr>
      <w:r>
        <w:rPr>
          <w:rFonts w:ascii="Arial" w:cs="Arial" w:eastAsia="Arial" w:hAnsi="Arial"/>
          <w:sz w:val="22"/>
          <w:szCs w:val="22"/>
        </w:rPr>
        <w:t xml:space="preserve">• B. Vivid, unambiguous, and representative of the broader pattern</w:t>
      </w:r>
    </w:p>
    <w:p>
      <w:pPr>
        <w:spacing w:after="40" w:before="40"/>
        <w:ind w:left="360"/>
      </w:pPr>
      <w:r>
        <w:rPr>
          <w:rFonts w:ascii="Arial" w:cs="Arial" w:eastAsia="Arial" w:hAnsi="Arial"/>
          <w:sz w:val="22"/>
          <w:szCs w:val="22"/>
        </w:rPr>
        <w:t xml:space="preserve">• C. The most statistically common case in the data the writer has gathered</w:t>
      </w:r>
    </w:p>
    <w:p>
      <w:pPr>
        <w:spacing w:after="40" w:before="40"/>
        <w:ind w:left="360"/>
      </w:pPr>
      <w:r>
        <w:rPr>
          <w:rFonts w:ascii="Arial" w:cs="Arial" w:eastAsia="Arial" w:hAnsi="Arial"/>
          <w:sz w:val="22"/>
          <w:szCs w:val="22"/>
        </w:rPr>
        <w:t xml:space="preserve">• D. Placed at the end of the exposition so the reader finishes with the most specific detail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Hasty generalization in the particular-to-general structure results from:</w:t>
      </w:r>
    </w:p>
    <w:p>
      <w:pPr>
        <w:spacing w:after="40" w:before="40"/>
        <w:ind w:left="360"/>
      </w:pPr>
      <w:r>
        <w:rPr>
          <w:rFonts w:ascii="Arial" w:cs="Arial" w:eastAsia="Arial" w:hAnsi="Arial"/>
          <w:sz w:val="22"/>
          <w:szCs w:val="22"/>
        </w:rPr>
        <w:t xml:space="preserve">• A. Too few examples, or examples that are not representative of the full range of cases</w:t>
      </w:r>
    </w:p>
    <w:p>
      <w:pPr>
        <w:spacing w:after="40" w:before="40"/>
        <w:ind w:left="360"/>
      </w:pPr>
      <w:r>
        <w:rPr>
          <w:rFonts w:ascii="Arial" w:cs="Arial" w:eastAsia="Arial" w:hAnsi="Arial"/>
          <w:sz w:val="22"/>
          <w:szCs w:val="22"/>
        </w:rPr>
        <w:t xml:space="preserve">• B. Using a pivot sentence that is too long to be memorable or clear</w:t>
      </w:r>
    </w:p>
    <w:p>
      <w:pPr>
        <w:spacing w:after="40" w:before="40"/>
        <w:ind w:left="360"/>
      </w:pPr>
      <w:r>
        <w:rPr>
          <w:rFonts w:ascii="Arial" w:cs="Arial" w:eastAsia="Arial" w:hAnsi="Arial"/>
          <w:sz w:val="22"/>
          <w:szCs w:val="22"/>
        </w:rPr>
        <w:t xml:space="preserve">• C. Presenting examples in chronological order rather than in order of increasing strength</w:t>
      </w:r>
    </w:p>
    <w:p>
      <w:pPr>
        <w:spacing w:after="40" w:before="40"/>
        <w:ind w:left="360"/>
      </w:pPr>
      <w:r>
        <w:rPr>
          <w:rFonts w:ascii="Arial" w:cs="Arial" w:eastAsia="Arial" w:hAnsi="Arial"/>
          <w:sz w:val="22"/>
          <w:szCs w:val="22"/>
        </w:rPr>
        <w:t xml:space="preserve">• D. Providing examples from multiple contexts when a single, well-developed case would be clearer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sentence would most effectively serve as a pivot sentence after three specific examples of underfunded urban schools?</w:t>
      </w:r>
    </w:p>
    <w:p>
      <w:pPr>
        <w:spacing w:after="40" w:before="40"/>
        <w:ind w:left="360"/>
      </w:pPr>
      <w:r>
        <w:rPr>
          <w:rFonts w:ascii="Arial" w:cs="Arial" w:eastAsia="Arial" w:hAnsi="Arial"/>
          <w:sz w:val="22"/>
          <w:szCs w:val="22"/>
        </w:rPr>
        <w:t xml:space="preserve">• A. These three schools represent the broader pattern of inequality that defines American public education today</w:t>
      </w:r>
    </w:p>
    <w:p>
      <w:pPr>
        <w:spacing w:after="40" w:before="40"/>
        <w:ind w:left="360"/>
      </w:pPr>
      <w:r>
        <w:rPr>
          <w:rFonts w:ascii="Arial" w:cs="Arial" w:eastAsia="Arial" w:hAnsi="Arial"/>
          <w:sz w:val="22"/>
          <w:szCs w:val="22"/>
        </w:rPr>
        <w:t xml:space="preserve">• B. The first school, Jefferson Middle, received $2,200 less per student than the state average in 2024</w:t>
      </w:r>
    </w:p>
    <w:p>
      <w:pPr>
        <w:spacing w:after="40" w:before="40"/>
        <w:ind w:left="360"/>
      </w:pPr>
      <w:r>
        <w:rPr>
          <w:rFonts w:ascii="Arial" w:cs="Arial" w:eastAsia="Arial" w:hAnsi="Arial"/>
          <w:sz w:val="22"/>
          <w:szCs w:val="22"/>
        </w:rPr>
        <w:t xml:space="preserve">• C. School funding is a complex issue with many contributing factors that policymakers must consider</w:t>
      </w:r>
    </w:p>
    <w:p>
      <w:pPr>
        <w:spacing w:after="40" w:before="40"/>
        <w:ind w:left="360"/>
      </w:pPr>
      <w:r>
        <w:rPr>
          <w:rFonts w:ascii="Arial" w:cs="Arial" w:eastAsia="Arial" w:hAnsi="Arial"/>
          <w:sz w:val="22"/>
          <w:szCs w:val="22"/>
        </w:rPr>
        <w:t xml:space="preserve">• D. The following section will address the policy solutions that have been proposed in recent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term 'perspicuous' as applied to expository writing means:</w:t>
      </w:r>
    </w:p>
    <w:p>
      <w:pPr>
        <w:spacing w:after="40" w:before="40"/>
        <w:ind w:left="360"/>
      </w:pPr>
      <w:r>
        <w:rPr>
          <w:rFonts w:ascii="Arial" w:cs="Arial" w:eastAsia="Arial" w:hAnsi="Arial"/>
          <w:sz w:val="22"/>
          <w:szCs w:val="22"/>
        </w:rPr>
        <w:t xml:space="preserve">• A. So clear and transparent that the reasoning is easy to follow without appearing mechanical</w:t>
      </w:r>
    </w:p>
    <w:p>
      <w:pPr>
        <w:spacing w:after="40" w:before="40"/>
        <w:ind w:left="360"/>
      </w:pPr>
      <w:r>
        <w:rPr>
          <w:rFonts w:ascii="Arial" w:cs="Arial" w:eastAsia="Arial" w:hAnsi="Arial"/>
          <w:sz w:val="22"/>
          <w:szCs w:val="22"/>
        </w:rPr>
        <w:t xml:space="preserve">• B. Using particularly dense or complex sentence structures to demonstrate analytical depth</w:t>
      </w:r>
    </w:p>
    <w:p>
      <w:pPr>
        <w:spacing w:after="40" w:before="40"/>
        <w:ind w:left="360"/>
      </w:pPr>
      <w:r>
        <w:rPr>
          <w:rFonts w:ascii="Arial" w:cs="Arial" w:eastAsia="Arial" w:hAnsi="Arial"/>
          <w:sz w:val="22"/>
          <w:szCs w:val="22"/>
        </w:rPr>
        <w:t xml:space="preserve">• C. Relying primarily on visual evidence and graphic organizers to clarify complex arguments</w:t>
      </w:r>
    </w:p>
    <w:p>
      <w:pPr>
        <w:spacing w:after="40" w:before="40"/>
        <w:ind w:left="360"/>
      </w:pPr>
      <w:r>
        <w:rPr>
          <w:rFonts w:ascii="Arial" w:cs="Arial" w:eastAsia="Arial" w:hAnsi="Arial"/>
          <w:sz w:val="22"/>
          <w:szCs w:val="22"/>
        </w:rPr>
        <w:t xml:space="preserve">• D. Writing that presents multiple contradictory perspectives without resolving them</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2027-02-08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21 — Exposition Models I: From Particular to General — AP English Language</dc:title>
  <dc:creator>StayTalentReady / 25 Alpha LLC</dc:creator>
  <dc:description>Study notes for AP English Language Week of 2027-02-08</dc:description>
  <cp:lastModifiedBy>Un-named</cp:lastModifiedBy>
  <cp:revision>1</cp:revision>
  <dcterms:created xsi:type="dcterms:W3CDTF">2026-09-18T01:10:34.915Z</dcterms:created>
  <dcterms:modified xsi:type="dcterms:W3CDTF">2026-09-18T01:10:34.915Z</dcterms:modified>
</cp:coreProperties>
</file>

<file path=docProps/custom.xml><?xml version="1.0" encoding="utf-8"?>
<Properties xmlns="http://schemas.openxmlformats.org/officeDocument/2006/custom-properties" xmlns:vt="http://schemas.openxmlformats.org/officeDocument/2006/docPropsVTypes"/>
</file>